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8DC9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附件1：综合评审打分表</w:t>
      </w:r>
      <w:bookmarkEnd w:id="0"/>
    </w:p>
    <w:tbl>
      <w:tblPr>
        <w:tblStyle w:val="3"/>
        <w:tblW w:w="8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271"/>
        <w:gridCol w:w="898"/>
        <w:gridCol w:w="5752"/>
      </w:tblGrid>
      <w:tr w14:paraId="0E1C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57" w:type="dxa"/>
            <w:vAlign w:val="center"/>
          </w:tcPr>
          <w:p w14:paraId="2ED9C4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71" w:type="dxa"/>
            <w:vAlign w:val="center"/>
          </w:tcPr>
          <w:p w14:paraId="41E2A3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898" w:type="dxa"/>
            <w:vAlign w:val="center"/>
          </w:tcPr>
          <w:p w14:paraId="686928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5752" w:type="dxa"/>
            <w:vAlign w:val="center"/>
          </w:tcPr>
          <w:p w14:paraId="4AAE5B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评审内容及打分细则</w:t>
            </w:r>
          </w:p>
        </w:tc>
      </w:tr>
      <w:tr w14:paraId="722A0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857" w:type="dxa"/>
            <w:vAlign w:val="center"/>
          </w:tcPr>
          <w:p w14:paraId="35E25AF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71" w:type="dxa"/>
            <w:vAlign w:val="center"/>
          </w:tcPr>
          <w:p w14:paraId="1B3694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供应商综合资质实力</w:t>
            </w:r>
          </w:p>
        </w:tc>
        <w:tc>
          <w:tcPr>
            <w:tcW w:w="898" w:type="dxa"/>
            <w:vAlign w:val="center"/>
          </w:tcPr>
          <w:p w14:paraId="421539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20分</w:t>
            </w:r>
          </w:p>
        </w:tc>
        <w:tc>
          <w:tcPr>
            <w:tcW w:w="5752" w:type="dxa"/>
            <w:vAlign w:val="center"/>
          </w:tcPr>
          <w:p w14:paraId="63E07A7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1.营业执照，有效并加盖公章，得3分，无不得分。 2.本项目赛事APP、平台软件著作权（自有），提供有效证书得8分；仅有第三方授权且授权完整有效得4分；无著作权、无合法授权本大项不得分。 3.信息安全资质（ISO27001等）：每提供1项有效证书得4分，最高9分。 备注：资质须加盖公章，原件备查；过期、虚假资质不计分。</w:t>
            </w:r>
          </w:p>
        </w:tc>
      </w:tr>
      <w:tr w14:paraId="7A57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857" w:type="dxa"/>
            <w:vAlign w:val="center"/>
          </w:tcPr>
          <w:p w14:paraId="2BFC2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71" w:type="dxa"/>
            <w:vAlign w:val="center"/>
          </w:tcPr>
          <w:p w14:paraId="07A509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同类项目业绩案例</w:t>
            </w:r>
          </w:p>
        </w:tc>
        <w:tc>
          <w:tcPr>
            <w:tcW w:w="898" w:type="dxa"/>
            <w:vAlign w:val="center"/>
          </w:tcPr>
          <w:p w14:paraId="051CFC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20分</w:t>
            </w:r>
          </w:p>
        </w:tc>
        <w:tc>
          <w:tcPr>
            <w:tcW w:w="5752" w:type="dxa"/>
            <w:vAlign w:val="center"/>
          </w:tcPr>
          <w:p w14:paraId="168396A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提供近3年内线上体育赛事、AI健身、残疾人线上文体活动案例，合同复印件加盖公章作为佐证。 1.残疾人相关线上文体/AI健身赛事案例，每个案例得8分，最多16分； 2.其他普通线上体育、线上活动案例，每个案例得2分，最多4分。 无任何同类案例本项0分。</w:t>
            </w:r>
          </w:p>
        </w:tc>
      </w:tr>
      <w:tr w14:paraId="0FE4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2" w:hRule="atLeast"/>
        </w:trPr>
        <w:tc>
          <w:tcPr>
            <w:tcW w:w="857" w:type="dxa"/>
            <w:vAlign w:val="center"/>
          </w:tcPr>
          <w:p w14:paraId="77B5EB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71" w:type="dxa"/>
            <w:vAlign w:val="center"/>
          </w:tcPr>
          <w:p w14:paraId="3B68FC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技术服务方案</w:t>
            </w:r>
          </w:p>
        </w:tc>
        <w:tc>
          <w:tcPr>
            <w:tcW w:w="898" w:type="dxa"/>
            <w:vAlign w:val="center"/>
          </w:tcPr>
          <w:p w14:paraId="00E0A9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30分</w:t>
            </w:r>
          </w:p>
        </w:tc>
        <w:tc>
          <w:tcPr>
            <w:tcW w:w="5752" w:type="dxa"/>
            <w:vAlign w:val="center"/>
          </w:tcPr>
          <w:p w14:paraId="7B8F046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对照采购需求逐项核查方案完整性：（1）报名系统：身份证、残疾人证上传核验、地址校验、身份信息比对、5大类残疾分组，7分；方案完整得满分，缺一项扣2分，扣完为止。 （2）AI动作识别模块（AI跳绳、AI扩胸、AI乒乓球颠球）：骨骼识别、动作计数、摄像头适配方案，8分；功能描述完整、技术路径清晰得满分，缺一个项目扣3分。 （3）排行榜、排名逻辑、榜单公示功能：按残疾类别、项目独立排名；同分排序规则；赛后榜单公示3天，6分；缺项酌情扣分。 （4）宣传页面、主题设计、电子完赛证书定制、成绩展示分享，4分。 （5）技术运维方案：平台搭建维护、实时刷新、异常数据处理、客服答疑，5分。</w:t>
            </w:r>
          </w:p>
        </w:tc>
      </w:tr>
      <w:tr w14:paraId="2C45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857" w:type="dxa"/>
            <w:vAlign w:val="center"/>
          </w:tcPr>
          <w:p w14:paraId="0604A4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71" w:type="dxa"/>
            <w:vAlign w:val="center"/>
          </w:tcPr>
          <w:p w14:paraId="09B797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信息安全及知识产权专项方案</w:t>
            </w:r>
          </w:p>
        </w:tc>
        <w:tc>
          <w:tcPr>
            <w:tcW w:w="898" w:type="dxa"/>
            <w:vAlign w:val="center"/>
          </w:tcPr>
          <w:p w14:paraId="7FE319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15分</w:t>
            </w:r>
          </w:p>
        </w:tc>
        <w:tc>
          <w:tcPr>
            <w:tcW w:w="5752" w:type="dxa"/>
            <w:vAlign w:val="center"/>
          </w:tcPr>
          <w:p w14:paraId="5BE620F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1.提供完整残疾人敏感个人信息保护方案，包含加密存储、权限管控、数据泄露应急处置、赛后数据清理机制，8分；方案缺失酌情扣分，无方案得0分。 2.提供知识产权合规方案，说明APP、AI组件权属，承诺不使用盗版、套壳、破解组件，签订保密协议及泄密追责，7分。</w:t>
            </w:r>
          </w:p>
        </w:tc>
      </w:tr>
      <w:tr w14:paraId="0B334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857" w:type="dxa"/>
            <w:vAlign w:val="center"/>
          </w:tcPr>
          <w:p w14:paraId="44129E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1" w:type="dxa"/>
            <w:vAlign w:val="center"/>
          </w:tcPr>
          <w:p w14:paraId="6719C0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报价合理性</w:t>
            </w:r>
          </w:p>
        </w:tc>
        <w:tc>
          <w:tcPr>
            <w:tcW w:w="898" w:type="dxa"/>
            <w:vAlign w:val="center"/>
          </w:tcPr>
          <w:p w14:paraId="3F13A9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752" w:type="dxa"/>
            <w:vAlign w:val="center"/>
          </w:tcPr>
          <w:p w14:paraId="09CCE33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采购限价15万元。 价格得分=（基准价÷投标报价）×10 基准价为所有有效报价中的最低报价。报价高于15万元限价直接按无效报价处理。</w:t>
            </w:r>
          </w:p>
        </w:tc>
      </w:tr>
      <w:tr w14:paraId="6BC9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857" w:type="dxa"/>
            <w:vAlign w:val="center"/>
          </w:tcPr>
          <w:p w14:paraId="78BD31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71" w:type="dxa"/>
            <w:vAlign w:val="center"/>
          </w:tcPr>
          <w:p w14:paraId="40D19A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项目实施保障及售后服务</w:t>
            </w:r>
          </w:p>
        </w:tc>
        <w:tc>
          <w:tcPr>
            <w:tcW w:w="898" w:type="dxa"/>
            <w:vAlign w:val="center"/>
          </w:tcPr>
          <w:p w14:paraId="6A13D9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5752" w:type="dxa"/>
            <w:vAlign w:val="center"/>
          </w:tcPr>
          <w:p w14:paraId="1312F2F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1.项目团队配置，配备项目负责人、技术、安全管理人员、设计人员，2分； 2.项目工期保障、上线测试、赛后技术兜底、7×24小时应急响应机制，3分。</w:t>
            </w:r>
          </w:p>
        </w:tc>
      </w:tr>
      <w:tr w14:paraId="3180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57" w:type="dxa"/>
            <w:vAlign w:val="center"/>
          </w:tcPr>
          <w:p w14:paraId="2D226ED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71" w:type="dxa"/>
            <w:vAlign w:val="center"/>
          </w:tcPr>
          <w:p w14:paraId="4D1C43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98" w:type="dxa"/>
            <w:vAlign w:val="center"/>
          </w:tcPr>
          <w:p w14:paraId="3B79446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5752" w:type="dxa"/>
            <w:vAlign w:val="center"/>
          </w:tcPr>
          <w:p w14:paraId="3DE1B7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2D07FE9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849BA"/>
    <w:rsid w:val="15A849BA"/>
    <w:rsid w:val="3C3D33F5"/>
    <w:rsid w:val="73876103"/>
    <w:rsid w:val="7D7EA342"/>
    <w:rsid w:val="7F5676A4"/>
    <w:rsid w:val="DBFF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3843</Words>
  <Characters>4160</Characters>
  <Lines>0</Lines>
  <Paragraphs>0</Paragraphs>
  <TotalTime>17</TotalTime>
  <ScaleCrop>false</ScaleCrop>
  <LinksUpToDate>false</LinksUpToDate>
  <CharactersWithSpaces>4253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2026-09-10T10:09:00Z</dcterms:created>
  <dc:creator>王景冉</dc:creator>
  <cp:lastModifiedBy>Administrator</cp:lastModifiedBy>
  <dcterms:modified xsi:type="dcterms:W3CDTF">2026-09-10T10:48:49Z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41F0C797B2226B95A761A26A77FB80B1_43</vt:lpwstr>
  </property>
  <property fmtid="{D5CDD505-2E9C-101B-9397-08002B2CF9AE}" pid="4" name="KSOTemplateDocerSaveRecord">
    <vt:lpwstr>eyJoZGlkIjoiMzRkNDRmNDg3NmZjMmFiNmJlMWRmYzZkN2IzNDMxNWQifQ==</vt:lpwstr>
  </property>
</Properties>
</file>